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857CD">
      <w:pPr>
        <w:widowControl/>
        <w:spacing w:line="600" w:lineRule="exact"/>
        <w:ind w:leftChars="-89" w:hanging="284" w:hangingChars="89"/>
        <w:jc w:val="left"/>
        <w:rPr>
          <w:rFonts w:ascii="Times New Roman" w:hAnsi="Times New Roman" w:eastAsia="黑体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szCs w:val="32"/>
        </w:rPr>
        <w:t>附件</w:t>
      </w:r>
    </w:p>
    <w:p w14:paraId="33C896C1">
      <w:pPr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hint="eastAsia" w:ascii="Times New Roman" w:hAnsi="Times New Roman" w:eastAsia="方正小标宋_GBK"/>
          <w:bCs/>
          <w:sz w:val="36"/>
          <w:szCs w:val="36"/>
        </w:rPr>
        <w:t>第十五届省运会射击馆项目</w:t>
      </w:r>
      <w:r>
        <w:rPr>
          <w:rFonts w:ascii="Times New Roman" w:hAnsi="Times New Roman" w:eastAsia="方正小标宋_GBK"/>
          <w:bCs/>
          <w:sz w:val="36"/>
          <w:szCs w:val="36"/>
        </w:rPr>
        <w:t>评价绩效指标评分表</w:t>
      </w:r>
    </w:p>
    <w:p w14:paraId="7F6DC10D">
      <w:pPr>
        <w:widowControl/>
        <w:spacing w:line="600" w:lineRule="exact"/>
        <w:jc w:val="center"/>
        <w:rPr>
          <w:rFonts w:ascii="Times New Roman" w:hAnsi="Times New Roman"/>
          <w:szCs w:val="32"/>
        </w:rPr>
      </w:pPr>
      <w:r>
        <w:rPr>
          <w:rFonts w:ascii="Times New Roman" w:hAnsi="Times New Roman"/>
          <w:sz w:val="28"/>
          <w:szCs w:val="28"/>
        </w:rPr>
        <w:t>（根据项目实际情况自行设计完善）</w:t>
      </w:r>
    </w:p>
    <w:tbl>
      <w:tblPr>
        <w:tblStyle w:val="2"/>
        <w:tblW w:w="9640" w:type="dxa"/>
        <w:tblInd w:w="-3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842"/>
        <w:gridCol w:w="1266"/>
        <w:gridCol w:w="645"/>
        <w:gridCol w:w="2024"/>
        <w:gridCol w:w="2967"/>
        <w:gridCol w:w="1186"/>
      </w:tblGrid>
      <w:tr w14:paraId="1272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</w:trPr>
        <w:tc>
          <w:tcPr>
            <w:tcW w:w="710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89941F">
            <w:pPr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ascii="黑体" w:hAnsi="黑体" w:eastAsia="黑体"/>
                <w:bCs/>
                <w:sz w:val="21"/>
                <w:szCs w:val="21"/>
              </w:rPr>
              <w:t>一级</w:t>
            </w:r>
            <w:r>
              <w:rPr>
                <w:rFonts w:ascii="黑体" w:hAnsi="黑体" w:eastAsia="黑体"/>
                <w:bCs/>
                <w:sz w:val="21"/>
                <w:szCs w:val="21"/>
              </w:rPr>
              <w:br w:type="textWrapping"/>
            </w:r>
            <w:r>
              <w:rPr>
                <w:rFonts w:ascii="黑体" w:hAnsi="黑体" w:eastAsia="黑体"/>
                <w:bCs/>
                <w:sz w:val="21"/>
                <w:szCs w:val="21"/>
              </w:rPr>
              <w:t>指标</w:t>
            </w:r>
          </w:p>
        </w:tc>
        <w:tc>
          <w:tcPr>
            <w:tcW w:w="842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F07DEA">
            <w:pPr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ascii="黑体" w:hAnsi="黑体" w:eastAsia="黑体"/>
                <w:bCs/>
                <w:sz w:val="21"/>
                <w:szCs w:val="21"/>
              </w:rPr>
              <w:t>二级</w:t>
            </w:r>
            <w:r>
              <w:rPr>
                <w:rFonts w:ascii="黑体" w:hAnsi="黑体" w:eastAsia="黑体"/>
                <w:bCs/>
                <w:sz w:val="21"/>
                <w:szCs w:val="21"/>
              </w:rPr>
              <w:br w:type="textWrapping"/>
            </w:r>
            <w:r>
              <w:rPr>
                <w:rFonts w:ascii="黑体" w:hAnsi="黑体" w:eastAsia="黑体"/>
                <w:bCs/>
                <w:sz w:val="21"/>
                <w:szCs w:val="21"/>
              </w:rPr>
              <w:t>指标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5EAFFD3">
            <w:pPr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ascii="黑体" w:hAnsi="黑体" w:eastAsia="黑体"/>
                <w:bCs/>
                <w:sz w:val="21"/>
                <w:szCs w:val="21"/>
              </w:rPr>
              <w:t>三级指标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4337F2">
            <w:pPr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ascii="黑体" w:hAnsi="黑体" w:eastAsia="黑体"/>
                <w:bCs/>
                <w:sz w:val="21"/>
                <w:szCs w:val="21"/>
              </w:rPr>
              <w:t>分值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F235727">
            <w:pPr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ascii="黑体" w:hAnsi="黑体" w:eastAsia="黑体"/>
                <w:bCs/>
                <w:sz w:val="21"/>
                <w:szCs w:val="21"/>
              </w:rPr>
              <w:t>指标解释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8EF5A8E">
            <w:pPr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ascii="黑体" w:hAnsi="黑体" w:eastAsia="黑体"/>
                <w:bCs/>
                <w:sz w:val="21"/>
                <w:szCs w:val="21"/>
              </w:rPr>
              <w:t>指标说明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792D79A">
            <w:pPr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ascii="黑体" w:hAnsi="黑体" w:eastAsia="黑体"/>
                <w:bCs/>
                <w:sz w:val="21"/>
                <w:szCs w:val="21"/>
              </w:rPr>
              <w:t>得分</w:t>
            </w:r>
          </w:p>
        </w:tc>
      </w:tr>
      <w:tr w14:paraId="51D8B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10" w:type="dxa"/>
            <w:vMerge w:val="restart"/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V"/>
            <w:vAlign w:val="center"/>
          </w:tcPr>
          <w:p w14:paraId="78FE8A0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决  策</w:t>
            </w:r>
          </w:p>
        </w:tc>
        <w:tc>
          <w:tcPr>
            <w:tcW w:w="842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256052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预算支出决策</w:t>
            </w:r>
          </w:p>
          <w:p w14:paraId="2977A250">
            <w:pPr>
              <w:jc w:val="center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（项目</w:t>
            </w:r>
          </w:p>
          <w:p w14:paraId="769E4471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立项）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0307A6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预算支出决策（项目立项）依据</w:t>
            </w:r>
          </w:p>
          <w:p w14:paraId="2B6D90CD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充分性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D07F48D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6961F92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项目立项符合法律法规、相关政策、发展规划以及部门职责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D06AA8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项目经市发改委审批立项，与市公安局职责和市体育事业发展规划高度相关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35D513">
            <w:pPr>
              <w:spacing w:line="260" w:lineRule="exact"/>
              <w:ind w:right="160" w:rightChars="50" w:firstLine="420" w:firstLineChars="20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</w:tr>
      <w:tr w14:paraId="5851B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3" w:hRule="atLeast"/>
        </w:trPr>
        <w:tc>
          <w:tcPr>
            <w:tcW w:w="710" w:type="dxa"/>
            <w:vMerge w:val="continue"/>
            <w:noWrap w:val="0"/>
            <w:vAlign w:val="center"/>
          </w:tcPr>
          <w:p w14:paraId="256F534D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D1CD6C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绩效</w:t>
            </w:r>
          </w:p>
          <w:p w14:paraId="2EBCDAF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目标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9C6A5F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绩效目标</w:t>
            </w:r>
          </w:p>
          <w:p w14:paraId="4325BE0B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合理性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9E51308">
            <w:pPr>
              <w:spacing w:line="260" w:lineRule="exact"/>
              <w:ind w:left="160" w:leftChars="50" w:right="160" w:rightChars="50"/>
              <w:jc w:val="center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B74E61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所设定的绩效目标依据充分，符合客观实际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92BD5F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项目设定明确的绩效总目标和阶段性目标，与项目建设任务紧密关联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7B784FE">
            <w:pPr>
              <w:spacing w:line="260" w:lineRule="exact"/>
              <w:ind w:left="160" w:leftChars="50" w:right="160" w:rightChars="5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 xml:space="preserve">   5</w:t>
            </w:r>
          </w:p>
        </w:tc>
      </w:tr>
      <w:tr w14:paraId="10D6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10" w:type="dxa"/>
            <w:vMerge w:val="continue"/>
            <w:noWrap w:val="0"/>
            <w:vAlign w:val="center"/>
          </w:tcPr>
          <w:p w14:paraId="320FEA1E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E56C258">
            <w:pPr>
              <w:jc w:val="center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资金投入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EB71F4E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资金</w:t>
            </w:r>
          </w:p>
          <w:p w14:paraId="0CCFF60B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分配</w:t>
            </w:r>
          </w:p>
          <w:p w14:paraId="03795D33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合理性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184AF8">
            <w:pPr>
              <w:spacing w:line="260" w:lineRule="exact"/>
              <w:ind w:left="160" w:leftChars="50" w:right="160" w:rightChars="50"/>
              <w:jc w:val="center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3D1ED3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资金</w:t>
            </w:r>
            <w:r>
              <w:rPr>
                <w:rFonts w:hint="eastAsia" w:ascii="Times New Roman" w:hAnsi="Times New Roman"/>
                <w:sz w:val="21"/>
                <w:szCs w:val="21"/>
              </w:rPr>
              <w:t>投入</w:t>
            </w:r>
            <w:r>
              <w:rPr>
                <w:rFonts w:ascii="Times New Roman" w:hAnsi="Times New Roman"/>
                <w:sz w:val="21"/>
                <w:szCs w:val="21"/>
              </w:rPr>
              <w:t>有测算依据，与实际相适应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E77C7B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费用支出均依据相关政策文件</w:t>
            </w:r>
            <w:r>
              <w:rPr>
                <w:rFonts w:hint="eastAsia" w:ascii="Times New Roman" w:hAnsi="Times New Roman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</w:rPr>
              <w:t>资金投向与项目建设需求匹配度高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023D09F">
            <w:pPr>
              <w:spacing w:line="260" w:lineRule="exact"/>
              <w:ind w:left="160" w:leftChars="50" w:right="160" w:rightChars="50" w:firstLine="420" w:firstLineChars="200"/>
              <w:rPr>
                <w:rFonts w:hint="eastAsia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</w:t>
            </w:r>
          </w:p>
        </w:tc>
      </w:tr>
      <w:tr w14:paraId="47C24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10" w:type="dxa"/>
            <w:vMerge w:val="continue"/>
            <w:noWrap w:val="0"/>
            <w:vAlign w:val="center"/>
          </w:tcPr>
          <w:p w14:paraId="7692621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8B1CA14">
            <w:pPr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资金管理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7AD11A7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资金</w:t>
            </w:r>
          </w:p>
          <w:p w14:paraId="468C659A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使用</w:t>
            </w:r>
          </w:p>
          <w:p w14:paraId="62A4EADE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合规性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E0DFC5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9BEFFAE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资金使用符合相关的财务管理制度规定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05EBCBF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费用支出均经审批后拨付，凭证齐全，账实相符</w:t>
            </w:r>
            <w:r>
              <w:rPr>
                <w:rFonts w:hint="eastAsia" w:ascii="Times New Roman" w:hAnsi="Times New Roman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</w:rPr>
              <w:t>符合《基本建设财务规则》等制度要求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629C5B0">
            <w:pPr>
              <w:spacing w:line="260" w:lineRule="exact"/>
              <w:ind w:left="160" w:leftChars="50" w:right="160" w:rightChars="50" w:firstLine="210" w:firstLineChars="10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 xml:space="preserve"> 10</w:t>
            </w:r>
          </w:p>
        </w:tc>
      </w:tr>
      <w:tr w14:paraId="5D19B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10" w:type="dxa"/>
            <w:vMerge w:val="continue"/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V"/>
            <w:vAlign w:val="center"/>
          </w:tcPr>
          <w:p w14:paraId="7FF0827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177E91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组织</w:t>
            </w:r>
          </w:p>
          <w:p w14:paraId="0B8DE4FF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实施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4653EDF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管理</w:t>
            </w:r>
          </w:p>
          <w:p w14:paraId="7A63942D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制度</w:t>
            </w:r>
          </w:p>
          <w:p w14:paraId="29AA75CD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健全性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8538B1F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975D947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预算</w:t>
            </w:r>
            <w:r>
              <w:rPr>
                <w:rFonts w:ascii="Times New Roman" w:hAnsi="Times New Roman"/>
                <w:sz w:val="21"/>
                <w:szCs w:val="21"/>
              </w:rPr>
              <w:t>支出实施单位的财务和业务管理制度健全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A2B3FA9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项目实行代建制管理，严格执行项目法人责任制、招标投标制、工程监理制和合同管理制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DCAF26">
            <w:pPr>
              <w:spacing w:line="260" w:lineRule="exact"/>
              <w:ind w:right="160" w:rightChars="50" w:firstLine="420" w:firstLineChars="20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</w:tr>
      <w:tr w14:paraId="47085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1" w:hRule="atLeast"/>
        </w:trPr>
        <w:tc>
          <w:tcPr>
            <w:tcW w:w="710" w:type="dxa"/>
            <w:vMerge w:val="restart"/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V"/>
            <w:vAlign w:val="center"/>
          </w:tcPr>
          <w:p w14:paraId="17A9E2F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产   出</w:t>
            </w:r>
          </w:p>
        </w:tc>
        <w:tc>
          <w:tcPr>
            <w:tcW w:w="842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79C1E6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产出</w:t>
            </w:r>
          </w:p>
          <w:p w14:paraId="06CD006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数量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FCED7C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实际</w:t>
            </w:r>
          </w:p>
          <w:p w14:paraId="0F83016C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完成率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B93CE3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DDF27B3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预算支出的实际产出数与计划产出数的比率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C0953C2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11项费用支出全部完成支付，资金支付率100%</w:t>
            </w:r>
            <w:r>
              <w:rPr>
                <w:rFonts w:hint="eastAsia" w:ascii="Times New Roman" w:hAnsi="Times New Roman"/>
                <w:sz w:val="21"/>
                <w:szCs w:val="21"/>
              </w:rPr>
              <w:t>，项目基本完工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23A736D">
            <w:pPr>
              <w:spacing w:line="260" w:lineRule="exact"/>
              <w:ind w:left="160" w:leftChars="50" w:right="160" w:rightChars="5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 xml:space="preserve">  10</w:t>
            </w:r>
          </w:p>
        </w:tc>
      </w:tr>
      <w:tr w14:paraId="45012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710" w:type="dxa"/>
            <w:vMerge w:val="continue"/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V"/>
            <w:vAlign w:val="center"/>
          </w:tcPr>
          <w:p w14:paraId="251BBBF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AD61BBB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产出</w:t>
            </w:r>
          </w:p>
          <w:p w14:paraId="7A28505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质量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F2F6446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质量</w:t>
            </w:r>
          </w:p>
          <w:p w14:paraId="08FA1CC9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达标率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3C5B89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843C413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预算支出的质量达标产出数与实际产出数的比率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6EA6B9">
            <w:pPr>
              <w:spacing w:line="260" w:lineRule="exact"/>
              <w:ind w:left="160" w:leftChars="50" w:right="160" w:rightChars="50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项目</w:t>
            </w:r>
            <w:r>
              <w:rPr>
                <w:rFonts w:ascii="Times New Roman" w:hAnsi="Times New Roman"/>
                <w:sz w:val="21"/>
                <w:szCs w:val="21"/>
              </w:rPr>
              <w:t>施工质量符合国家标准和设计要求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/>
                <w:sz w:val="21"/>
                <w:szCs w:val="21"/>
              </w:rPr>
              <w:t>弱电</w:t>
            </w:r>
            <w:r>
              <w:rPr>
                <w:rFonts w:ascii="Times New Roman" w:hAnsi="Times New Roman"/>
                <w:sz w:val="21"/>
                <w:szCs w:val="21"/>
              </w:rPr>
              <w:t>工程进度略滞后于计划，</w:t>
            </w:r>
            <w:r>
              <w:rPr>
                <w:rFonts w:hint="eastAsia" w:ascii="Times New Roman" w:hAnsi="Times New Roman"/>
                <w:sz w:val="21"/>
                <w:szCs w:val="21"/>
              </w:rPr>
              <w:t>整个项目</w:t>
            </w:r>
            <w:r>
              <w:rPr>
                <w:rFonts w:ascii="Times New Roman" w:hAnsi="Times New Roman"/>
                <w:sz w:val="21"/>
                <w:szCs w:val="21"/>
              </w:rPr>
              <w:t>尚未完成</w:t>
            </w:r>
            <w:r>
              <w:rPr>
                <w:rFonts w:hint="eastAsia" w:ascii="Times New Roman" w:hAnsi="Times New Roman"/>
                <w:sz w:val="21"/>
                <w:szCs w:val="21"/>
              </w:rPr>
              <w:t>竣工</w:t>
            </w:r>
            <w:r>
              <w:rPr>
                <w:rFonts w:ascii="Times New Roman" w:hAnsi="Times New Roman"/>
                <w:sz w:val="21"/>
                <w:szCs w:val="21"/>
              </w:rPr>
              <w:t>验收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4CFC5D4">
            <w:pPr>
              <w:spacing w:line="260" w:lineRule="exact"/>
              <w:ind w:left="160" w:leftChars="50" w:right="160" w:rightChars="5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 xml:space="preserve">   9</w:t>
            </w:r>
          </w:p>
        </w:tc>
      </w:tr>
      <w:tr w14:paraId="73E6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10" w:type="dxa"/>
            <w:vMerge w:val="continue"/>
            <w:noWrap w:val="0"/>
            <w:vAlign w:val="center"/>
          </w:tcPr>
          <w:p w14:paraId="5699FF5A">
            <w:pPr>
              <w:spacing w:line="500" w:lineRule="exact"/>
              <w:ind w:left="11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BA7066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产出</w:t>
            </w:r>
          </w:p>
          <w:p w14:paraId="0E807A8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成本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88EC72">
            <w:pPr>
              <w:spacing w:line="260" w:lineRule="exact"/>
              <w:ind w:left="160" w:leftChars="50" w:right="160" w:rightChars="50"/>
              <w:jc w:val="center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资金专款专用率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9392C5F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791367">
            <w:pPr>
              <w:spacing w:line="260" w:lineRule="exact"/>
              <w:ind w:left="160" w:leftChars="50" w:right="160" w:rightChars="50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资金专款专用，无指标混用情况</w:t>
            </w: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2D2FB0">
            <w:pPr>
              <w:spacing w:line="260" w:lineRule="exact"/>
              <w:ind w:left="160" w:leftChars="50" w:right="160" w:rightChars="50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严格按照制度专款专用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BDD0A8">
            <w:pPr>
              <w:spacing w:line="260" w:lineRule="exact"/>
              <w:ind w:right="160" w:rightChars="50" w:firstLine="420" w:firstLineChars="20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</w:tr>
      <w:tr w14:paraId="6EF50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710" w:type="dxa"/>
            <w:vMerge w:val="restart"/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V"/>
            <w:vAlign w:val="center"/>
          </w:tcPr>
          <w:p w14:paraId="7924FD5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效   益</w:t>
            </w:r>
          </w:p>
        </w:tc>
        <w:tc>
          <w:tcPr>
            <w:tcW w:w="842" w:type="dxa"/>
            <w:vMerge w:val="restart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EABE02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预算</w:t>
            </w:r>
          </w:p>
          <w:p w14:paraId="0BC294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支出</w:t>
            </w:r>
            <w:r>
              <w:rPr>
                <w:rFonts w:ascii="Times New Roman" w:hAnsi="Times New Roman"/>
                <w:sz w:val="21"/>
                <w:szCs w:val="21"/>
              </w:rPr>
              <w:br w:type="textWrapping"/>
            </w:r>
            <w:r>
              <w:rPr>
                <w:rFonts w:ascii="Times New Roman" w:hAnsi="Times New Roman"/>
                <w:sz w:val="21"/>
                <w:szCs w:val="21"/>
              </w:rPr>
              <w:t>效益</w:t>
            </w: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DD2D3C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实施</w:t>
            </w:r>
          </w:p>
          <w:p w14:paraId="004C7386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效益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AFDF1E9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FCBEF1">
            <w:pPr>
              <w:spacing w:line="28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预算支出所产生的</w:t>
            </w:r>
            <w:r>
              <w:rPr>
                <w:rFonts w:hint="eastAsia" w:ascii="Times New Roman" w:hAnsi="Times New Roman"/>
                <w:sz w:val="21"/>
                <w:szCs w:val="21"/>
              </w:rPr>
              <w:t>社会</w:t>
            </w:r>
            <w:r>
              <w:rPr>
                <w:rFonts w:ascii="Times New Roman" w:hAnsi="Times New Roman"/>
                <w:sz w:val="21"/>
                <w:szCs w:val="21"/>
              </w:rPr>
              <w:t>效益</w:t>
            </w:r>
          </w:p>
          <w:p w14:paraId="0F17CC1E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3DB8DAC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项目建成后，将服务于2026年省运会射击赛事，同时将有效填补本地警务训练场地短板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AF8CCCE">
            <w:pPr>
              <w:spacing w:line="260" w:lineRule="exact"/>
              <w:ind w:right="160" w:rightChars="50" w:firstLine="420" w:firstLineChars="20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</w:tr>
      <w:tr w14:paraId="07C0B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710" w:type="dxa"/>
            <w:vMerge w:val="continue"/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V"/>
            <w:vAlign w:val="center"/>
          </w:tcPr>
          <w:p w14:paraId="6E48FF8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vMerge w:val="continue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1E08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C3F3B17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社会</w:t>
            </w:r>
          </w:p>
          <w:p w14:paraId="6CE7F421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公众</w:t>
            </w:r>
          </w:p>
          <w:p w14:paraId="7ED47155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或服</w:t>
            </w:r>
          </w:p>
          <w:p w14:paraId="701BFC10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务对</w:t>
            </w:r>
          </w:p>
          <w:p w14:paraId="339EE075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象满</w:t>
            </w:r>
          </w:p>
          <w:p w14:paraId="732FE471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意度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3F725B">
            <w:pPr>
              <w:spacing w:line="260" w:lineRule="exact"/>
              <w:ind w:left="160" w:leftChars="50" w:right="160" w:rightChars="50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0C46834">
            <w:pPr>
              <w:spacing w:line="28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社会公众或服务对象对预算支出实施效果的满意程度</w:t>
            </w:r>
          </w:p>
          <w:p w14:paraId="477757F1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9E055D0">
            <w:pPr>
              <w:spacing w:line="260" w:lineRule="exact"/>
              <w:ind w:left="160" w:leftChars="50" w:right="160" w:rightChars="50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通过问卷调查和访谈了解，项目建设相关各方对工程进度和质量的满意度较高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</w:rPr>
              <w:t>由于项目仍</w:t>
            </w:r>
            <w:r>
              <w:rPr>
                <w:rFonts w:hint="eastAsia" w:ascii="Times New Roman" w:hAnsi="Times New Roman"/>
                <w:sz w:val="21"/>
                <w:szCs w:val="21"/>
              </w:rPr>
              <w:t>处于</w:t>
            </w:r>
            <w:r>
              <w:rPr>
                <w:rFonts w:ascii="Times New Roman" w:hAnsi="Times New Roman"/>
                <w:sz w:val="21"/>
                <w:szCs w:val="21"/>
              </w:rPr>
              <w:t>完工</w:t>
            </w:r>
            <w:r>
              <w:rPr>
                <w:rFonts w:hint="eastAsia" w:ascii="Times New Roman" w:hAnsi="Times New Roman"/>
                <w:sz w:val="21"/>
                <w:szCs w:val="21"/>
              </w:rPr>
              <w:t>待验阶段</w:t>
            </w:r>
            <w:r>
              <w:rPr>
                <w:rFonts w:ascii="Times New Roman" w:hAnsi="Times New Roman"/>
                <w:sz w:val="21"/>
                <w:szCs w:val="21"/>
              </w:rPr>
              <w:t>，最终用户（赛事使用方、警务训练人员）的使用体验评价尚未全面开展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977ABB2">
            <w:pPr>
              <w:spacing w:line="260" w:lineRule="exact"/>
              <w:ind w:left="160" w:leftChars="50" w:right="160" w:rightChars="50" w:firstLine="420" w:firstLineChars="200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9</w:t>
            </w:r>
          </w:p>
        </w:tc>
      </w:tr>
      <w:tr w14:paraId="43915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10" w:type="dxa"/>
            <w:vMerge w:val="continue"/>
            <w:noWrap w:val="0"/>
            <w:vAlign w:val="center"/>
          </w:tcPr>
          <w:p w14:paraId="09DAE3A8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 w14:paraId="33F58C2F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6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83BF38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可持续影响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FAE77B2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8E091A">
            <w:pPr>
              <w:spacing w:line="28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预算支出</w:t>
            </w:r>
            <w:r>
              <w:rPr>
                <w:rFonts w:hint="eastAsia" w:ascii="Times New Roman" w:hAnsi="Times New Roman"/>
                <w:sz w:val="21"/>
                <w:szCs w:val="21"/>
              </w:rPr>
              <w:t>所产生的可持续影响</w:t>
            </w:r>
          </w:p>
          <w:p w14:paraId="19D3ECAE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B0A326B">
            <w:pPr>
              <w:spacing w:line="260" w:lineRule="exact"/>
              <w:ind w:left="160" w:leftChars="50" w:right="160" w:rightChars="50"/>
              <w:rPr>
                <w:rFonts w:hint="eastAsia" w:ascii="Times New Roman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省运会</w:t>
            </w:r>
            <w:r>
              <w:rPr>
                <w:rFonts w:hint="eastAsia" w:ascii="Times New Roman" w:hAnsi="Times New Roman"/>
                <w:sz w:val="21"/>
                <w:szCs w:val="21"/>
              </w:rPr>
              <w:t>结束后</w:t>
            </w:r>
            <w:r>
              <w:rPr>
                <w:rFonts w:ascii="Times New Roman" w:hAnsi="Times New Roman"/>
                <w:sz w:val="21"/>
                <w:szCs w:val="21"/>
              </w:rPr>
              <w:t>，</w:t>
            </w:r>
            <w:r>
              <w:rPr>
                <w:rFonts w:hint="eastAsia" w:ascii="Times New Roman" w:hAnsi="Times New Roman"/>
                <w:sz w:val="21"/>
                <w:szCs w:val="21"/>
              </w:rPr>
              <w:t>项目</w:t>
            </w:r>
            <w:r>
              <w:rPr>
                <w:rFonts w:ascii="Times New Roman" w:hAnsi="Times New Roman"/>
                <w:sz w:val="21"/>
                <w:szCs w:val="21"/>
              </w:rPr>
              <w:t>将面向警务训练和群众体育长期开放，场馆使用年限长，可持续发挥作用。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</w:rPr>
              <w:t>项目后期运营管理方案尚在制定中，运营维护经费保障机制有待进一步明确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96FB14">
            <w:pPr>
              <w:spacing w:line="260" w:lineRule="exact"/>
              <w:ind w:left="160" w:leftChars="50" w:right="160" w:rightChars="5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 xml:space="preserve">   9</w:t>
            </w:r>
          </w:p>
        </w:tc>
      </w:tr>
      <w:tr w14:paraId="2C652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818" w:type="dxa"/>
            <w:gridSpan w:val="3"/>
            <w:noWrap w:val="0"/>
            <w:vAlign w:val="center"/>
          </w:tcPr>
          <w:p w14:paraId="19694BAF">
            <w:pPr>
              <w:spacing w:line="260" w:lineRule="exact"/>
              <w:ind w:left="160" w:leftChars="50" w:right="160" w:rightChars="5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总分</w:t>
            </w:r>
          </w:p>
        </w:tc>
        <w:tc>
          <w:tcPr>
            <w:tcW w:w="645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6B895F">
            <w:pPr>
              <w:spacing w:line="260" w:lineRule="exact"/>
              <w:ind w:right="160" w:rightChars="50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100</w:t>
            </w:r>
          </w:p>
        </w:tc>
        <w:tc>
          <w:tcPr>
            <w:tcW w:w="2024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9F233D8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2967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A4EF3C">
            <w:pPr>
              <w:spacing w:line="260" w:lineRule="exact"/>
              <w:ind w:left="160" w:leftChars="50" w:right="160" w:rightChars="5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D127B6">
            <w:pPr>
              <w:spacing w:line="260" w:lineRule="exact"/>
              <w:ind w:left="160" w:leftChars="50" w:right="160" w:rightChars="50" w:firstLine="210" w:firstLineChars="100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97</w:t>
            </w:r>
          </w:p>
        </w:tc>
      </w:tr>
    </w:tbl>
    <w:p w14:paraId="7E415145">
      <w:pPr>
        <w:widowControl/>
        <w:spacing w:line="600" w:lineRule="exact"/>
        <w:jc w:val="left"/>
        <w:rPr>
          <w:rFonts w:ascii="Times New Roman" w:hAnsi="Times New Roman"/>
          <w:szCs w:val="32"/>
        </w:rPr>
      </w:pPr>
    </w:p>
    <w:p w14:paraId="2853FC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42052"/>
    <w:rsid w:val="1D6068B0"/>
    <w:rsid w:val="248E2729"/>
    <w:rsid w:val="40C17A24"/>
    <w:rsid w:val="7A64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869</Words>
  <Characters>894</Characters>
  <Lines>0</Lines>
  <Paragraphs>0</Paragraphs>
  <TotalTime>4</TotalTime>
  <ScaleCrop>false</ScaleCrop>
  <LinksUpToDate>false</LinksUpToDate>
  <CharactersWithSpaces>914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2026-05-06T01:41:00Z</dcterms:created>
  <dc:creator>Administrator</dc:creator>
  <cp:lastModifiedBy>【晨哲】~L</cp:lastModifiedBy>
  <dcterms:modified xsi:type="dcterms:W3CDTF">2026-05-14T03:38:07Z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DAA0F9C35BD74A8E9C3C5CDE58F6FA30_13</vt:lpwstr>
  </property>
  <property fmtid="{D5CDD505-2E9C-101B-9397-08002B2CF9AE}" pid="4" name="KSOTemplateDocerSaveRecord">
    <vt:lpwstr>eyJoZGlkIjoiMzc5MTI4OGFhN2Q1M2U3NDFiMGIwNGQ2MmZmOTJjMTAiLCJ1c2VySWQiOiIzNzU2OTUzNTcifQ==</vt:lpwstr>
  </property>
</Properties>
</file>